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7717" w:rsidRPr="00FA7717" w:rsidRDefault="00FA7717" w:rsidP="00FA7717">
      <w:pPr>
        <w:shd w:val="clear" w:color="auto" w:fill="FAEBD2"/>
        <w:spacing w:after="96" w:line="240" w:lineRule="auto"/>
        <w:outlineLvl w:val="1"/>
        <w:rPr>
          <w:rFonts w:ascii="Tahoma" w:eastAsia="Times New Roman" w:hAnsi="Tahoma" w:cs="Tahoma"/>
          <w:b/>
          <w:bCs/>
          <w:color w:val="2D2D2D"/>
          <w:sz w:val="36"/>
          <w:szCs w:val="36"/>
          <w:lang w:eastAsia="it-IT"/>
        </w:rPr>
      </w:pPr>
      <w:r>
        <w:rPr>
          <w:rFonts w:ascii="Tahoma" w:eastAsia="Times New Roman" w:hAnsi="Tahoma" w:cs="Tahoma"/>
          <w:b/>
          <w:bCs/>
          <w:color w:val="2D2D2D"/>
          <w:sz w:val="36"/>
          <w:szCs w:val="36"/>
          <w:lang w:eastAsia="it-IT"/>
        </w:rPr>
        <w:t>A</w:t>
      </w:r>
      <w:r w:rsidRPr="00FA7717">
        <w:rPr>
          <w:rFonts w:ascii="Tahoma" w:eastAsia="Times New Roman" w:hAnsi="Tahoma" w:cs="Tahoma"/>
          <w:b/>
          <w:bCs/>
          <w:color w:val="2D2D2D"/>
          <w:sz w:val="36"/>
          <w:szCs w:val="36"/>
          <w:lang w:eastAsia="it-IT"/>
        </w:rPr>
        <w:t>rt. 431 Codice di procedura penale</w:t>
      </w:r>
    </w:p>
    <w:p w:rsidR="00FA7717" w:rsidRPr="00FA7717" w:rsidRDefault="00FA7717" w:rsidP="00FA7717">
      <w:pPr>
        <w:shd w:val="clear" w:color="auto" w:fill="FAEBD2"/>
        <w:spacing w:after="0" w:line="420" w:lineRule="atLeast"/>
        <w:ind w:firstLine="400"/>
        <w:jc w:val="both"/>
        <w:rPr>
          <w:rFonts w:ascii="Tahoma" w:eastAsia="Times New Roman" w:hAnsi="Tahoma" w:cs="Tahoma"/>
          <w:color w:val="000000"/>
          <w:sz w:val="30"/>
          <w:szCs w:val="30"/>
          <w:lang w:eastAsia="it-IT"/>
        </w:rPr>
      </w:pPr>
      <w:r w:rsidRPr="00FA7717">
        <w:rPr>
          <w:rFonts w:ascii="Tahoma" w:eastAsia="Times New Roman" w:hAnsi="Tahoma" w:cs="Tahoma"/>
          <w:color w:val="000000"/>
          <w:sz w:val="30"/>
          <w:szCs w:val="30"/>
          <w:lang w:eastAsia="it-IT"/>
        </w:rPr>
        <w:t>1. Immediatamente dopo l'emissione del </w:t>
      </w:r>
      <w:r w:rsidRPr="00FA7717">
        <w:rPr>
          <w:rFonts w:ascii="Tahoma" w:eastAsia="Times New Roman" w:hAnsi="Tahoma" w:cs="Tahoma"/>
          <w:color w:val="183025"/>
          <w:sz w:val="30"/>
          <w:szCs w:val="30"/>
          <w:u w:val="single"/>
          <w:lang w:eastAsia="it-IT"/>
        </w:rPr>
        <w:t>decreto che dispone il giudizio</w:t>
      </w:r>
      <w:r w:rsidRPr="00FA7717">
        <w:rPr>
          <w:rFonts w:ascii="Tahoma" w:eastAsia="Times New Roman" w:hAnsi="Tahoma" w:cs="Tahoma"/>
          <w:color w:val="000000"/>
          <w:sz w:val="30"/>
          <w:szCs w:val="30"/>
          <w:lang w:eastAsia="it-IT"/>
        </w:rPr>
        <w:t>, il giudice provvede nel contraddittorio delle parti alla formazione del </w:t>
      </w:r>
      <w:bookmarkStart w:id="0" w:name="_GoBack"/>
      <w:bookmarkEnd w:id="0"/>
      <w:r w:rsidRPr="00FA7717">
        <w:rPr>
          <w:rFonts w:ascii="Tahoma" w:eastAsia="Times New Roman" w:hAnsi="Tahoma" w:cs="Tahoma"/>
          <w:color w:val="183025"/>
          <w:sz w:val="30"/>
          <w:szCs w:val="30"/>
          <w:u w:val="single"/>
          <w:lang w:eastAsia="it-IT"/>
        </w:rPr>
        <w:t>fascicolo per il dibattimento</w:t>
      </w:r>
      <w:r w:rsidRPr="00FA7717">
        <w:rPr>
          <w:rFonts w:ascii="Tahoma" w:eastAsia="Times New Roman" w:hAnsi="Tahoma" w:cs="Tahoma"/>
          <w:color w:val="000000"/>
          <w:sz w:val="30"/>
          <w:szCs w:val="30"/>
          <w:lang w:eastAsia="it-IT"/>
        </w:rPr>
        <w:t>. Se una delle parti ne fa richiesta il giudice fissa una nuova udienza, non oltre il termine di quindici giorni, per la formazione del fascicolo. Nel fascicolo per il dibattimento sono raccolti:</w:t>
      </w:r>
    </w:p>
    <w:p w:rsidR="00FA7717" w:rsidRPr="00FA7717" w:rsidRDefault="00FA7717" w:rsidP="00FA7717">
      <w:pPr>
        <w:numPr>
          <w:ilvl w:val="0"/>
          <w:numId w:val="3"/>
        </w:numPr>
        <w:shd w:val="clear" w:color="auto" w:fill="FAEBD2"/>
        <w:spacing w:after="0" w:line="420" w:lineRule="atLeast"/>
        <w:ind w:left="0" w:firstLine="200"/>
        <w:jc w:val="both"/>
        <w:rPr>
          <w:rFonts w:ascii="Tahoma" w:eastAsia="Times New Roman" w:hAnsi="Tahoma" w:cs="Tahoma"/>
          <w:color w:val="000000"/>
          <w:sz w:val="30"/>
          <w:szCs w:val="30"/>
          <w:lang w:eastAsia="it-IT"/>
        </w:rPr>
      </w:pPr>
      <w:r w:rsidRPr="00FA7717">
        <w:rPr>
          <w:rFonts w:ascii="Tahoma" w:eastAsia="Times New Roman" w:hAnsi="Tahoma" w:cs="Tahoma"/>
          <w:color w:val="000000"/>
          <w:sz w:val="30"/>
          <w:szCs w:val="30"/>
          <w:lang w:eastAsia="it-IT"/>
        </w:rPr>
        <w:t>a) gli atti relativi alla procedibilità dell'</w:t>
      </w:r>
      <w:r w:rsidRPr="00FA7717">
        <w:rPr>
          <w:rFonts w:ascii="Tahoma" w:eastAsia="Times New Roman" w:hAnsi="Tahoma" w:cs="Tahoma"/>
          <w:color w:val="183025"/>
          <w:sz w:val="30"/>
          <w:szCs w:val="30"/>
          <w:u w:val="single"/>
          <w:lang w:eastAsia="it-IT"/>
        </w:rPr>
        <w:t>azione penale</w:t>
      </w:r>
      <w:r w:rsidRPr="00FA7717">
        <w:rPr>
          <w:rFonts w:ascii="Tahoma" w:eastAsia="Times New Roman" w:hAnsi="Tahoma" w:cs="Tahoma"/>
          <w:color w:val="000000"/>
          <w:sz w:val="30"/>
          <w:szCs w:val="30"/>
          <w:lang w:eastAsia="it-IT"/>
        </w:rPr>
        <w:t> e all'esercizio dell'</w:t>
      </w:r>
      <w:r w:rsidRPr="00FA7717">
        <w:rPr>
          <w:rFonts w:ascii="Tahoma" w:eastAsia="Times New Roman" w:hAnsi="Tahoma" w:cs="Tahoma"/>
          <w:color w:val="183025"/>
          <w:sz w:val="30"/>
          <w:szCs w:val="30"/>
          <w:u w:val="single"/>
          <w:lang w:eastAsia="it-IT"/>
        </w:rPr>
        <w:t>azione civile</w:t>
      </w:r>
      <w:r w:rsidRPr="00FA7717">
        <w:rPr>
          <w:rFonts w:ascii="Tahoma" w:eastAsia="Times New Roman" w:hAnsi="Tahoma" w:cs="Tahoma"/>
          <w:color w:val="000000"/>
          <w:sz w:val="30"/>
          <w:szCs w:val="30"/>
          <w:lang w:eastAsia="it-IT"/>
        </w:rPr>
        <w:t>;</w:t>
      </w:r>
    </w:p>
    <w:p w:rsidR="00FA7717" w:rsidRPr="00FA7717" w:rsidRDefault="00FA7717" w:rsidP="00FA7717">
      <w:pPr>
        <w:numPr>
          <w:ilvl w:val="0"/>
          <w:numId w:val="3"/>
        </w:numPr>
        <w:shd w:val="clear" w:color="auto" w:fill="FAEBD2"/>
        <w:spacing w:after="0" w:line="420" w:lineRule="atLeast"/>
        <w:ind w:left="0" w:firstLine="200"/>
        <w:jc w:val="both"/>
        <w:rPr>
          <w:rFonts w:ascii="Tahoma" w:eastAsia="Times New Roman" w:hAnsi="Tahoma" w:cs="Tahoma"/>
          <w:color w:val="000000"/>
          <w:sz w:val="30"/>
          <w:szCs w:val="30"/>
          <w:lang w:eastAsia="it-IT"/>
        </w:rPr>
      </w:pPr>
      <w:r w:rsidRPr="00FA7717">
        <w:rPr>
          <w:rFonts w:ascii="Tahoma" w:eastAsia="Times New Roman" w:hAnsi="Tahoma" w:cs="Tahoma"/>
          <w:color w:val="000000"/>
          <w:sz w:val="30"/>
          <w:szCs w:val="30"/>
          <w:lang w:eastAsia="it-IT"/>
        </w:rPr>
        <w:t>b) i verbali degli </w:t>
      </w:r>
      <w:r w:rsidRPr="00FA7717">
        <w:rPr>
          <w:rFonts w:ascii="Tahoma" w:eastAsia="Times New Roman" w:hAnsi="Tahoma" w:cs="Tahoma"/>
          <w:color w:val="183025"/>
          <w:sz w:val="30"/>
          <w:szCs w:val="30"/>
          <w:u w:val="single"/>
          <w:lang w:eastAsia="it-IT"/>
        </w:rPr>
        <w:t>atti non ripetibili</w:t>
      </w:r>
      <w:r w:rsidRPr="00FA7717">
        <w:rPr>
          <w:rFonts w:ascii="Tahoma" w:eastAsia="Times New Roman" w:hAnsi="Tahoma" w:cs="Tahoma"/>
          <w:color w:val="000000"/>
          <w:sz w:val="30"/>
          <w:szCs w:val="30"/>
          <w:lang w:eastAsia="it-IT"/>
        </w:rPr>
        <w:t> compiuti dalla </w:t>
      </w:r>
      <w:r w:rsidRPr="00FA7717">
        <w:rPr>
          <w:rFonts w:ascii="Tahoma" w:eastAsia="Times New Roman" w:hAnsi="Tahoma" w:cs="Tahoma"/>
          <w:color w:val="183025"/>
          <w:sz w:val="30"/>
          <w:szCs w:val="30"/>
          <w:u w:val="single"/>
          <w:lang w:eastAsia="it-IT"/>
        </w:rPr>
        <w:t>polizia giudiziaria</w:t>
      </w:r>
      <w:r w:rsidRPr="00FA7717">
        <w:rPr>
          <w:rFonts w:ascii="Tahoma" w:eastAsia="Times New Roman" w:hAnsi="Tahoma" w:cs="Tahoma"/>
          <w:color w:val="000000"/>
          <w:sz w:val="30"/>
          <w:szCs w:val="30"/>
          <w:lang w:eastAsia="it-IT"/>
        </w:rPr>
        <w:t>;</w:t>
      </w:r>
    </w:p>
    <w:p w:rsidR="00FA7717" w:rsidRPr="00FA7717" w:rsidRDefault="00FA7717" w:rsidP="00FA7717">
      <w:pPr>
        <w:numPr>
          <w:ilvl w:val="0"/>
          <w:numId w:val="3"/>
        </w:numPr>
        <w:shd w:val="clear" w:color="auto" w:fill="FAEBD2"/>
        <w:spacing w:after="0" w:line="420" w:lineRule="atLeast"/>
        <w:ind w:left="0" w:firstLine="200"/>
        <w:jc w:val="both"/>
        <w:rPr>
          <w:rFonts w:ascii="Tahoma" w:eastAsia="Times New Roman" w:hAnsi="Tahoma" w:cs="Tahoma"/>
          <w:color w:val="000000"/>
          <w:sz w:val="30"/>
          <w:szCs w:val="30"/>
          <w:lang w:eastAsia="it-IT"/>
        </w:rPr>
      </w:pPr>
      <w:r w:rsidRPr="00FA7717">
        <w:rPr>
          <w:rFonts w:ascii="Tahoma" w:eastAsia="Times New Roman" w:hAnsi="Tahoma" w:cs="Tahoma"/>
          <w:color w:val="000000"/>
          <w:sz w:val="30"/>
          <w:szCs w:val="30"/>
          <w:lang w:eastAsia="it-IT"/>
        </w:rPr>
        <w:t>c) i verbali degli atti non ripetibili compiuti dal </w:t>
      </w:r>
      <w:r w:rsidRPr="00FA7717">
        <w:rPr>
          <w:rFonts w:ascii="Tahoma" w:eastAsia="Times New Roman" w:hAnsi="Tahoma" w:cs="Tahoma"/>
          <w:color w:val="183025"/>
          <w:sz w:val="30"/>
          <w:szCs w:val="30"/>
          <w:u w:val="single"/>
          <w:lang w:eastAsia="it-IT"/>
        </w:rPr>
        <w:t>pubblico ministero</w:t>
      </w:r>
      <w:r w:rsidRPr="00FA7717">
        <w:rPr>
          <w:rFonts w:ascii="Tahoma" w:eastAsia="Times New Roman" w:hAnsi="Tahoma" w:cs="Tahoma"/>
          <w:color w:val="000000"/>
          <w:sz w:val="30"/>
          <w:szCs w:val="30"/>
          <w:lang w:eastAsia="it-IT"/>
        </w:rPr>
        <w:t> e dal difensore;</w:t>
      </w:r>
    </w:p>
    <w:p w:rsidR="00FA7717" w:rsidRPr="00FA7717" w:rsidRDefault="00FA7717" w:rsidP="00FA7717">
      <w:pPr>
        <w:numPr>
          <w:ilvl w:val="0"/>
          <w:numId w:val="3"/>
        </w:numPr>
        <w:shd w:val="clear" w:color="auto" w:fill="FAEBD2"/>
        <w:spacing w:after="0" w:line="420" w:lineRule="atLeast"/>
        <w:ind w:left="0" w:firstLine="200"/>
        <w:jc w:val="both"/>
        <w:rPr>
          <w:rFonts w:ascii="Tahoma" w:eastAsia="Times New Roman" w:hAnsi="Tahoma" w:cs="Tahoma"/>
          <w:color w:val="000000"/>
          <w:sz w:val="30"/>
          <w:szCs w:val="30"/>
          <w:lang w:eastAsia="it-IT"/>
        </w:rPr>
      </w:pPr>
      <w:r w:rsidRPr="00FA7717">
        <w:rPr>
          <w:rFonts w:ascii="Tahoma" w:eastAsia="Times New Roman" w:hAnsi="Tahoma" w:cs="Tahoma"/>
          <w:color w:val="000000"/>
          <w:sz w:val="30"/>
          <w:szCs w:val="30"/>
          <w:lang w:eastAsia="it-IT"/>
        </w:rPr>
        <w:t>d) i documenti acquisiti all'estero mediante rogatoria internazionale e i verbali degli atti non ripetibili assunti con le stesse modalità;</w:t>
      </w:r>
    </w:p>
    <w:p w:rsidR="00FA7717" w:rsidRPr="00FA7717" w:rsidRDefault="00FA7717" w:rsidP="00FA7717">
      <w:pPr>
        <w:numPr>
          <w:ilvl w:val="0"/>
          <w:numId w:val="3"/>
        </w:numPr>
        <w:shd w:val="clear" w:color="auto" w:fill="FAEBD2"/>
        <w:spacing w:after="0" w:line="420" w:lineRule="atLeast"/>
        <w:ind w:left="0" w:firstLine="200"/>
        <w:jc w:val="both"/>
        <w:rPr>
          <w:rFonts w:ascii="Tahoma" w:eastAsia="Times New Roman" w:hAnsi="Tahoma" w:cs="Tahoma"/>
          <w:color w:val="000000"/>
          <w:sz w:val="30"/>
          <w:szCs w:val="30"/>
          <w:lang w:eastAsia="it-IT"/>
        </w:rPr>
      </w:pPr>
      <w:r w:rsidRPr="00FA7717">
        <w:rPr>
          <w:rFonts w:ascii="Tahoma" w:eastAsia="Times New Roman" w:hAnsi="Tahoma" w:cs="Tahoma"/>
          <w:color w:val="000000"/>
          <w:sz w:val="30"/>
          <w:szCs w:val="30"/>
          <w:lang w:eastAsia="it-IT"/>
        </w:rPr>
        <w:t>e) i verbali degli atti assunti nell'</w:t>
      </w:r>
      <w:r w:rsidRPr="00FA7717">
        <w:rPr>
          <w:rFonts w:ascii="Tahoma" w:eastAsia="Times New Roman" w:hAnsi="Tahoma" w:cs="Tahoma"/>
          <w:color w:val="183025"/>
          <w:sz w:val="30"/>
          <w:szCs w:val="30"/>
          <w:u w:val="single"/>
          <w:lang w:eastAsia="it-IT"/>
        </w:rPr>
        <w:t>incidente probatorio</w:t>
      </w:r>
      <w:r w:rsidRPr="00FA7717">
        <w:rPr>
          <w:rFonts w:ascii="Tahoma" w:eastAsia="Times New Roman" w:hAnsi="Tahoma" w:cs="Tahoma"/>
          <w:color w:val="000000"/>
          <w:sz w:val="30"/>
          <w:szCs w:val="30"/>
          <w:lang w:eastAsia="it-IT"/>
        </w:rPr>
        <w:t>;</w:t>
      </w:r>
    </w:p>
    <w:p w:rsidR="00FA7717" w:rsidRPr="00FA7717" w:rsidRDefault="00FA7717" w:rsidP="00FA7717">
      <w:pPr>
        <w:numPr>
          <w:ilvl w:val="0"/>
          <w:numId w:val="3"/>
        </w:numPr>
        <w:shd w:val="clear" w:color="auto" w:fill="FAEBD2"/>
        <w:spacing w:after="0" w:line="420" w:lineRule="atLeast"/>
        <w:ind w:left="0" w:firstLine="200"/>
        <w:jc w:val="both"/>
        <w:rPr>
          <w:rFonts w:ascii="Tahoma" w:eastAsia="Times New Roman" w:hAnsi="Tahoma" w:cs="Tahoma"/>
          <w:color w:val="000000"/>
          <w:sz w:val="30"/>
          <w:szCs w:val="30"/>
          <w:lang w:eastAsia="it-IT"/>
        </w:rPr>
      </w:pPr>
      <w:r w:rsidRPr="00FA7717">
        <w:rPr>
          <w:rFonts w:ascii="Tahoma" w:eastAsia="Times New Roman" w:hAnsi="Tahoma" w:cs="Tahoma"/>
          <w:color w:val="000000"/>
          <w:sz w:val="30"/>
          <w:szCs w:val="30"/>
          <w:lang w:eastAsia="it-IT"/>
        </w:rPr>
        <w:t>f) i verbali degli atti, diversi da quelli previsti dalla lettera d), assunti all'estero a seguito di </w:t>
      </w:r>
      <w:r w:rsidRPr="00FA7717">
        <w:rPr>
          <w:rFonts w:ascii="Tahoma" w:eastAsia="Times New Roman" w:hAnsi="Tahoma" w:cs="Tahoma"/>
          <w:color w:val="183025"/>
          <w:sz w:val="30"/>
          <w:szCs w:val="30"/>
          <w:u w:val="single"/>
          <w:lang w:eastAsia="it-IT"/>
        </w:rPr>
        <w:t>rogatoria internazionale</w:t>
      </w:r>
      <w:r w:rsidRPr="00FA7717">
        <w:rPr>
          <w:rFonts w:ascii="Tahoma" w:eastAsia="Times New Roman" w:hAnsi="Tahoma" w:cs="Tahoma"/>
          <w:color w:val="000000"/>
          <w:sz w:val="30"/>
          <w:szCs w:val="30"/>
          <w:lang w:eastAsia="it-IT"/>
        </w:rPr>
        <w:t> ai quali i difensori sono stati posti in grado di assistere e di esercitare le facoltà loro consentite dalla legge italiana;</w:t>
      </w:r>
    </w:p>
    <w:p w:rsidR="00FA7717" w:rsidRPr="00FA7717" w:rsidRDefault="00FA7717" w:rsidP="00FA7717">
      <w:pPr>
        <w:numPr>
          <w:ilvl w:val="0"/>
          <w:numId w:val="3"/>
        </w:numPr>
        <w:shd w:val="clear" w:color="auto" w:fill="FAEBD2"/>
        <w:spacing w:after="0" w:line="420" w:lineRule="atLeast"/>
        <w:ind w:left="0" w:firstLine="200"/>
        <w:jc w:val="both"/>
        <w:rPr>
          <w:rFonts w:ascii="Tahoma" w:eastAsia="Times New Roman" w:hAnsi="Tahoma" w:cs="Tahoma"/>
          <w:color w:val="000000"/>
          <w:sz w:val="30"/>
          <w:szCs w:val="30"/>
          <w:lang w:eastAsia="it-IT"/>
        </w:rPr>
      </w:pPr>
      <w:r w:rsidRPr="00FA7717">
        <w:rPr>
          <w:rFonts w:ascii="Tahoma" w:eastAsia="Times New Roman" w:hAnsi="Tahoma" w:cs="Tahoma"/>
          <w:color w:val="000000"/>
          <w:sz w:val="30"/>
          <w:szCs w:val="30"/>
          <w:lang w:eastAsia="it-IT"/>
        </w:rPr>
        <w:t>g) il certificato generale del </w:t>
      </w:r>
      <w:r w:rsidRPr="00FA7717">
        <w:rPr>
          <w:rFonts w:ascii="Tahoma" w:eastAsia="Times New Roman" w:hAnsi="Tahoma" w:cs="Tahoma"/>
          <w:color w:val="183025"/>
          <w:sz w:val="30"/>
          <w:szCs w:val="30"/>
          <w:u w:val="single"/>
          <w:lang w:eastAsia="it-IT"/>
        </w:rPr>
        <w:t>casellario giudiziario</w:t>
      </w:r>
      <w:r w:rsidRPr="00FA7717">
        <w:rPr>
          <w:rFonts w:ascii="Tahoma" w:eastAsia="Times New Roman" w:hAnsi="Tahoma" w:cs="Tahoma"/>
          <w:color w:val="000000"/>
          <w:sz w:val="30"/>
          <w:szCs w:val="30"/>
          <w:lang w:eastAsia="it-IT"/>
        </w:rPr>
        <w:t> e gli altri documenti indicati nell'articolo </w:t>
      </w:r>
      <w:r w:rsidRPr="00FA7717">
        <w:rPr>
          <w:rFonts w:ascii="Tahoma" w:eastAsia="Times New Roman" w:hAnsi="Tahoma" w:cs="Tahoma"/>
          <w:color w:val="183025"/>
          <w:sz w:val="30"/>
          <w:szCs w:val="30"/>
          <w:u w:val="single"/>
          <w:lang w:eastAsia="it-IT"/>
        </w:rPr>
        <w:t>236</w:t>
      </w:r>
      <w:r w:rsidRPr="00FA7717">
        <w:rPr>
          <w:rFonts w:ascii="Tahoma" w:eastAsia="Times New Roman" w:hAnsi="Tahoma" w:cs="Tahoma"/>
          <w:color w:val="000000"/>
          <w:sz w:val="30"/>
          <w:szCs w:val="30"/>
          <w:lang w:eastAsia="it-IT"/>
        </w:rPr>
        <w:t>;</w:t>
      </w:r>
    </w:p>
    <w:p w:rsidR="00FA7717" w:rsidRPr="00FA7717" w:rsidRDefault="00FA7717" w:rsidP="00FA7717">
      <w:pPr>
        <w:numPr>
          <w:ilvl w:val="0"/>
          <w:numId w:val="3"/>
        </w:numPr>
        <w:shd w:val="clear" w:color="auto" w:fill="FAEBD2"/>
        <w:spacing w:after="0" w:line="420" w:lineRule="atLeast"/>
        <w:ind w:left="0" w:firstLine="200"/>
        <w:jc w:val="both"/>
        <w:rPr>
          <w:rFonts w:ascii="Tahoma" w:eastAsia="Times New Roman" w:hAnsi="Tahoma" w:cs="Tahoma"/>
          <w:color w:val="000000"/>
          <w:sz w:val="30"/>
          <w:szCs w:val="30"/>
          <w:lang w:eastAsia="it-IT"/>
        </w:rPr>
      </w:pPr>
      <w:r w:rsidRPr="00FA7717">
        <w:rPr>
          <w:rFonts w:ascii="Tahoma" w:eastAsia="Times New Roman" w:hAnsi="Tahoma" w:cs="Tahoma"/>
          <w:color w:val="000000"/>
          <w:sz w:val="30"/>
          <w:szCs w:val="30"/>
          <w:lang w:eastAsia="it-IT"/>
        </w:rPr>
        <w:t>h) il </w:t>
      </w:r>
      <w:r w:rsidRPr="00FA7717">
        <w:rPr>
          <w:rFonts w:ascii="Tahoma" w:eastAsia="Times New Roman" w:hAnsi="Tahoma" w:cs="Tahoma"/>
          <w:color w:val="183025"/>
          <w:sz w:val="30"/>
          <w:szCs w:val="30"/>
          <w:u w:val="single"/>
          <w:lang w:eastAsia="it-IT"/>
        </w:rPr>
        <w:t>corpo del reato</w:t>
      </w:r>
      <w:r w:rsidRPr="00FA7717">
        <w:rPr>
          <w:rFonts w:ascii="Tahoma" w:eastAsia="Times New Roman" w:hAnsi="Tahoma" w:cs="Tahoma"/>
          <w:color w:val="000000"/>
          <w:sz w:val="30"/>
          <w:szCs w:val="30"/>
          <w:lang w:eastAsia="it-IT"/>
        </w:rPr>
        <w:t> e le </w:t>
      </w:r>
      <w:r w:rsidRPr="00FA7717">
        <w:rPr>
          <w:rFonts w:ascii="Tahoma" w:eastAsia="Times New Roman" w:hAnsi="Tahoma" w:cs="Tahoma"/>
          <w:color w:val="183025"/>
          <w:sz w:val="30"/>
          <w:szCs w:val="30"/>
          <w:u w:val="single"/>
          <w:lang w:eastAsia="it-IT"/>
        </w:rPr>
        <w:t>cose pertinenti al reato</w:t>
      </w:r>
      <w:r w:rsidRPr="00FA7717">
        <w:rPr>
          <w:rFonts w:ascii="Tahoma" w:eastAsia="Times New Roman" w:hAnsi="Tahoma" w:cs="Tahoma"/>
          <w:color w:val="000000"/>
          <w:sz w:val="30"/>
          <w:szCs w:val="30"/>
          <w:lang w:eastAsia="it-IT"/>
        </w:rPr>
        <w:t>, qualora non debbano essere custoditi altrove.</w:t>
      </w:r>
    </w:p>
    <w:p w:rsidR="00FA7717" w:rsidRPr="00FA7717" w:rsidRDefault="00FA7717" w:rsidP="00FA7717">
      <w:pPr>
        <w:shd w:val="clear" w:color="auto" w:fill="FAEBD2"/>
        <w:spacing w:before="140" w:line="420" w:lineRule="atLeast"/>
        <w:ind w:firstLine="400"/>
        <w:jc w:val="both"/>
        <w:rPr>
          <w:rFonts w:ascii="Tahoma" w:eastAsia="Times New Roman" w:hAnsi="Tahoma" w:cs="Tahoma"/>
          <w:color w:val="000000"/>
          <w:sz w:val="30"/>
          <w:szCs w:val="30"/>
          <w:lang w:eastAsia="it-IT"/>
        </w:rPr>
      </w:pPr>
      <w:r w:rsidRPr="00FA7717">
        <w:rPr>
          <w:rFonts w:ascii="Tahoma" w:eastAsia="Times New Roman" w:hAnsi="Tahoma" w:cs="Tahoma"/>
          <w:color w:val="000000"/>
          <w:sz w:val="30"/>
          <w:szCs w:val="30"/>
          <w:lang w:eastAsia="it-IT"/>
        </w:rPr>
        <w:t>2. Le parti possono concordare l'acquisizione al fascicolo per il dibattimento di atti contenuti nel fascicolo del pubblico ministero, nonché della documentazione relativa all'attività di investigazione difensiva.</w:t>
      </w:r>
    </w:p>
    <w:p w:rsidR="00FA7717" w:rsidRDefault="00FA7717">
      <w:pPr>
        <w:rPr>
          <w:rFonts w:ascii="Tahoma" w:eastAsia="Times New Roman" w:hAnsi="Tahoma" w:cs="Tahoma"/>
          <w:b/>
          <w:bCs/>
          <w:color w:val="2D2D2D"/>
          <w:sz w:val="36"/>
          <w:szCs w:val="36"/>
          <w:lang w:eastAsia="it-IT"/>
        </w:rPr>
      </w:pPr>
      <w:r>
        <w:rPr>
          <w:rFonts w:ascii="Tahoma" w:eastAsia="Times New Roman" w:hAnsi="Tahoma" w:cs="Tahoma"/>
          <w:b/>
          <w:bCs/>
          <w:color w:val="2D2D2D"/>
          <w:sz w:val="36"/>
          <w:szCs w:val="36"/>
          <w:lang w:eastAsia="it-IT"/>
        </w:rPr>
        <w:br w:type="page"/>
      </w:r>
    </w:p>
    <w:p w:rsidR="004865BF" w:rsidRPr="004865BF" w:rsidRDefault="004865BF" w:rsidP="004865BF">
      <w:pPr>
        <w:shd w:val="clear" w:color="auto" w:fill="FAEBD2"/>
        <w:spacing w:before="45" w:after="120" w:line="240" w:lineRule="auto"/>
        <w:outlineLvl w:val="2"/>
        <w:rPr>
          <w:rFonts w:ascii="Tahoma" w:eastAsia="Times New Roman" w:hAnsi="Tahoma" w:cs="Tahoma"/>
          <w:b/>
          <w:bCs/>
          <w:color w:val="2D2D2D"/>
          <w:sz w:val="36"/>
          <w:szCs w:val="36"/>
          <w:lang w:eastAsia="it-IT"/>
        </w:rPr>
      </w:pPr>
      <w:r w:rsidRPr="004865BF">
        <w:rPr>
          <w:rFonts w:ascii="Tahoma" w:eastAsia="Times New Roman" w:hAnsi="Tahoma" w:cs="Tahoma"/>
          <w:b/>
          <w:bCs/>
          <w:color w:val="2D2D2D"/>
          <w:sz w:val="36"/>
          <w:szCs w:val="36"/>
          <w:lang w:eastAsia="it-IT"/>
        </w:rPr>
        <w:lastRenderedPageBreak/>
        <w:t>Spiegazione dell'art. 431 Codice di procedura penale</w:t>
      </w:r>
    </w:p>
    <w:p w:rsidR="00BC1210" w:rsidRDefault="004865BF" w:rsidP="004865BF">
      <w:pPr>
        <w:spacing w:after="0" w:line="360" w:lineRule="atLeast"/>
        <w:jc w:val="both"/>
        <w:rPr>
          <w:rFonts w:ascii="Tahoma" w:eastAsia="Times New Roman" w:hAnsi="Tahoma" w:cs="Tahoma"/>
          <w:color w:val="000000"/>
          <w:sz w:val="26"/>
          <w:szCs w:val="26"/>
          <w:lang w:eastAsia="it-IT"/>
        </w:rPr>
      </w:pPr>
      <w:r w:rsidRPr="004865BF">
        <w:rPr>
          <w:rFonts w:ascii="Tahoma" w:eastAsia="Times New Roman" w:hAnsi="Tahoma" w:cs="Tahoma"/>
          <w:color w:val="000000"/>
          <w:sz w:val="26"/>
          <w:szCs w:val="26"/>
          <w:lang w:eastAsia="it-IT"/>
        </w:rPr>
        <w:t>In seguito all'emissione del </w:t>
      </w:r>
      <w:r w:rsidRPr="004865BF">
        <w:rPr>
          <w:rFonts w:ascii="Tahoma" w:eastAsia="Times New Roman" w:hAnsi="Tahoma" w:cs="Tahoma"/>
          <w:color w:val="183025"/>
          <w:sz w:val="26"/>
          <w:szCs w:val="26"/>
          <w:u w:val="single"/>
          <w:lang w:eastAsia="it-IT"/>
        </w:rPr>
        <w:t>decreto che dispone il giudizio</w:t>
      </w:r>
      <w:r w:rsidRPr="004865BF">
        <w:rPr>
          <w:rFonts w:ascii="Tahoma" w:eastAsia="Times New Roman" w:hAnsi="Tahoma" w:cs="Tahoma"/>
          <w:color w:val="000000"/>
          <w:sz w:val="26"/>
          <w:szCs w:val="26"/>
          <w:lang w:eastAsia="it-IT"/>
        </w:rPr>
        <w:t>, segue un'attività di estrema importanza per la fase dibattimentale, ovvero la formazione, nel contraddittorio tra le parti, del </w:t>
      </w:r>
      <w:r w:rsidRPr="004865BF">
        <w:rPr>
          <w:rFonts w:ascii="Tahoma" w:eastAsia="Times New Roman" w:hAnsi="Tahoma" w:cs="Tahoma"/>
          <w:b/>
          <w:bCs/>
          <w:color w:val="183025"/>
          <w:sz w:val="26"/>
          <w:szCs w:val="26"/>
          <w:u w:val="single"/>
          <w:lang w:eastAsia="it-IT"/>
        </w:rPr>
        <w:t>fascicolo per il dibattimento</w:t>
      </w:r>
      <w:r w:rsidRPr="004865BF">
        <w:rPr>
          <w:rFonts w:ascii="Tahoma" w:eastAsia="Times New Roman" w:hAnsi="Tahoma" w:cs="Tahoma"/>
          <w:color w:val="000000"/>
          <w:sz w:val="26"/>
          <w:szCs w:val="26"/>
          <w:lang w:eastAsia="it-IT"/>
        </w:rPr>
        <w:t>, cui il giudice provvede immediatamente o, se una delle parti ne fa richiesta, in un'apposita udienza successiva, da svolgersi entro quindici giorni.</w:t>
      </w:r>
    </w:p>
    <w:p w:rsidR="004865BF" w:rsidRDefault="004865BF" w:rsidP="004865BF">
      <w:pPr>
        <w:spacing w:after="0" w:line="360" w:lineRule="atLeast"/>
        <w:jc w:val="both"/>
        <w:rPr>
          <w:rFonts w:ascii="Tahoma" w:eastAsia="Times New Roman" w:hAnsi="Tahoma" w:cs="Tahoma"/>
          <w:color w:val="000000"/>
          <w:sz w:val="26"/>
          <w:szCs w:val="26"/>
          <w:lang w:eastAsia="it-IT"/>
        </w:rPr>
      </w:pPr>
      <w:r w:rsidRPr="004865BF">
        <w:rPr>
          <w:rFonts w:ascii="Tahoma" w:eastAsia="Times New Roman" w:hAnsi="Tahoma" w:cs="Tahoma"/>
          <w:color w:val="000000"/>
          <w:sz w:val="26"/>
          <w:szCs w:val="26"/>
          <w:lang w:eastAsia="it-IT"/>
        </w:rPr>
        <w:br/>
      </w:r>
      <w:r w:rsidRPr="004865BF">
        <w:rPr>
          <w:rFonts w:ascii="Tahoma" w:eastAsia="Times New Roman" w:hAnsi="Tahoma" w:cs="Tahoma"/>
          <w:color w:val="000000"/>
          <w:sz w:val="26"/>
          <w:szCs w:val="26"/>
          <w:lang w:eastAsia="it-IT"/>
        </w:rPr>
        <w:br/>
      </w:r>
      <w:r w:rsidRPr="004865BF">
        <w:rPr>
          <w:rFonts w:ascii="Tahoma" w:eastAsia="Times New Roman" w:hAnsi="Tahoma" w:cs="Tahoma"/>
          <w:b/>
          <w:bCs/>
          <w:color w:val="000000"/>
          <w:sz w:val="26"/>
          <w:szCs w:val="26"/>
          <w:lang w:eastAsia="it-IT"/>
        </w:rPr>
        <w:t>I fascicoli sono due</w:t>
      </w:r>
      <w:r w:rsidRPr="004865BF">
        <w:rPr>
          <w:rFonts w:ascii="Tahoma" w:eastAsia="Times New Roman" w:hAnsi="Tahoma" w:cs="Tahoma"/>
          <w:color w:val="000000"/>
          <w:sz w:val="26"/>
          <w:szCs w:val="26"/>
          <w:lang w:eastAsia="it-IT"/>
        </w:rPr>
        <w:t>:</w:t>
      </w:r>
    </w:p>
    <w:p w:rsidR="004865BF" w:rsidRPr="004865BF" w:rsidRDefault="004865BF" w:rsidP="004865BF">
      <w:pPr>
        <w:spacing w:after="0" w:line="360" w:lineRule="atLeast"/>
        <w:jc w:val="both"/>
        <w:rPr>
          <w:rFonts w:ascii="Tahoma" w:eastAsia="Times New Roman" w:hAnsi="Tahoma" w:cs="Tahoma"/>
          <w:color w:val="000000"/>
          <w:sz w:val="26"/>
          <w:szCs w:val="26"/>
          <w:lang w:eastAsia="it-IT"/>
        </w:rPr>
      </w:pPr>
    </w:p>
    <w:p w:rsidR="004865BF" w:rsidRPr="004865BF" w:rsidRDefault="004865BF" w:rsidP="00BC1210">
      <w:pPr>
        <w:numPr>
          <w:ilvl w:val="0"/>
          <w:numId w:val="1"/>
        </w:numPr>
        <w:spacing w:after="100" w:afterAutospacing="1" w:line="360" w:lineRule="atLeast"/>
        <w:ind w:left="0"/>
        <w:jc w:val="both"/>
        <w:rPr>
          <w:rFonts w:ascii="Tahoma" w:eastAsia="Times New Roman" w:hAnsi="Tahoma" w:cs="Tahoma"/>
          <w:color w:val="000000"/>
          <w:sz w:val="26"/>
          <w:szCs w:val="26"/>
          <w:lang w:eastAsia="it-IT"/>
        </w:rPr>
      </w:pPr>
      <w:r w:rsidRPr="004865BF">
        <w:rPr>
          <w:rFonts w:ascii="Tahoma" w:eastAsia="Times New Roman" w:hAnsi="Tahoma" w:cs="Tahoma"/>
          <w:color w:val="000000"/>
          <w:sz w:val="26"/>
          <w:szCs w:val="26"/>
          <w:lang w:eastAsia="it-IT"/>
        </w:rPr>
        <w:t xml:space="preserve"> uno per </w:t>
      </w:r>
      <w:r w:rsidRPr="00BC1210">
        <w:rPr>
          <w:rFonts w:ascii="Tahoma" w:eastAsia="Times New Roman" w:hAnsi="Tahoma" w:cs="Tahoma"/>
          <w:b/>
          <w:bCs/>
          <w:color w:val="183025"/>
          <w:sz w:val="26"/>
          <w:szCs w:val="26"/>
          <w:u w:val="single"/>
          <w:lang w:eastAsia="it-IT"/>
        </w:rPr>
        <w:t>il dibattimento</w:t>
      </w:r>
      <w:r w:rsidRPr="004865BF">
        <w:rPr>
          <w:rFonts w:ascii="Tahoma" w:eastAsia="Times New Roman" w:hAnsi="Tahoma" w:cs="Tahoma"/>
          <w:color w:val="000000"/>
          <w:sz w:val="26"/>
          <w:szCs w:val="26"/>
          <w:lang w:eastAsia="it-IT"/>
        </w:rPr>
        <w:t>, da trasmettere alla cancelleria del </w:t>
      </w:r>
      <w:r w:rsidRPr="004865BF">
        <w:rPr>
          <w:rFonts w:ascii="Tahoma" w:eastAsia="Times New Roman" w:hAnsi="Tahoma" w:cs="Tahoma"/>
          <w:color w:val="183025"/>
          <w:sz w:val="26"/>
          <w:szCs w:val="26"/>
          <w:u w:val="single"/>
          <w:lang w:eastAsia="it-IT"/>
        </w:rPr>
        <w:t>giudice competente</w:t>
      </w:r>
      <w:r w:rsidRPr="004865BF">
        <w:rPr>
          <w:rFonts w:ascii="Tahoma" w:eastAsia="Times New Roman" w:hAnsi="Tahoma" w:cs="Tahoma"/>
          <w:color w:val="000000"/>
          <w:sz w:val="26"/>
          <w:szCs w:val="26"/>
          <w:lang w:eastAsia="it-IT"/>
        </w:rPr>
        <w:t> per la fase dibattimentale unitamente al </w:t>
      </w:r>
      <w:r w:rsidRPr="004865BF">
        <w:rPr>
          <w:rFonts w:ascii="Tahoma" w:eastAsia="Times New Roman" w:hAnsi="Tahoma" w:cs="Tahoma"/>
          <w:color w:val="183025"/>
          <w:sz w:val="26"/>
          <w:szCs w:val="26"/>
          <w:u w:val="single"/>
          <w:lang w:eastAsia="it-IT"/>
        </w:rPr>
        <w:t>decreto che dispone il giudizio</w:t>
      </w:r>
      <w:r w:rsidRPr="004865BF">
        <w:rPr>
          <w:rFonts w:ascii="Tahoma" w:eastAsia="Times New Roman" w:hAnsi="Tahoma" w:cs="Tahoma"/>
          <w:color w:val="000000"/>
          <w:sz w:val="26"/>
          <w:szCs w:val="26"/>
          <w:lang w:eastAsia="it-IT"/>
        </w:rPr>
        <w:t> ed all'eventuale provvedimento di applicazione di misure cautelari (se ancora in esecuzione);</w:t>
      </w:r>
      <w:r w:rsidRPr="004865BF">
        <w:rPr>
          <w:rFonts w:ascii="Tahoma" w:eastAsia="Times New Roman" w:hAnsi="Tahoma" w:cs="Tahoma"/>
          <w:color w:val="000000"/>
          <w:sz w:val="26"/>
          <w:szCs w:val="26"/>
          <w:lang w:eastAsia="it-IT"/>
        </w:rPr>
        <w:br/>
      </w:r>
    </w:p>
    <w:p w:rsidR="004865BF" w:rsidRPr="004865BF" w:rsidRDefault="004865BF" w:rsidP="004865BF">
      <w:pPr>
        <w:numPr>
          <w:ilvl w:val="0"/>
          <w:numId w:val="2"/>
        </w:numPr>
        <w:spacing w:after="100" w:afterAutospacing="1" w:line="360" w:lineRule="atLeast"/>
        <w:ind w:left="0"/>
        <w:rPr>
          <w:rFonts w:ascii="Tahoma" w:eastAsia="Times New Roman" w:hAnsi="Tahoma" w:cs="Tahoma"/>
          <w:color w:val="000000"/>
          <w:sz w:val="26"/>
          <w:szCs w:val="26"/>
          <w:lang w:eastAsia="it-IT"/>
        </w:rPr>
      </w:pPr>
      <w:r w:rsidRPr="004865BF">
        <w:rPr>
          <w:rFonts w:ascii="Tahoma" w:eastAsia="Times New Roman" w:hAnsi="Tahoma" w:cs="Tahoma"/>
          <w:color w:val="000000"/>
          <w:sz w:val="26"/>
          <w:szCs w:val="26"/>
          <w:lang w:eastAsia="it-IT"/>
        </w:rPr>
        <w:t> l'altro, il </w:t>
      </w:r>
      <w:r w:rsidRPr="004865BF">
        <w:rPr>
          <w:rFonts w:ascii="Tahoma" w:eastAsia="Times New Roman" w:hAnsi="Tahoma" w:cs="Tahoma"/>
          <w:b/>
          <w:bCs/>
          <w:color w:val="183025"/>
          <w:sz w:val="26"/>
          <w:szCs w:val="26"/>
          <w:u w:val="single"/>
          <w:lang w:eastAsia="it-IT"/>
        </w:rPr>
        <w:t>fascicolo del pubblico ministero</w:t>
      </w:r>
      <w:r w:rsidRPr="004865BF">
        <w:rPr>
          <w:rFonts w:ascii="Tahoma" w:eastAsia="Times New Roman" w:hAnsi="Tahoma" w:cs="Tahoma"/>
          <w:color w:val="000000"/>
          <w:sz w:val="26"/>
          <w:szCs w:val="26"/>
          <w:lang w:eastAsia="it-IT"/>
        </w:rPr>
        <w:t>, destinato ad essere conservato nella segreteria del p.m., con facoltà dei difensori di prenderne visione ed estrarne copia.</w:t>
      </w:r>
    </w:p>
    <w:p w:rsidR="004865BF" w:rsidRPr="004865BF" w:rsidRDefault="004865BF" w:rsidP="004865BF">
      <w:pPr>
        <w:spacing w:line="360" w:lineRule="atLeast"/>
        <w:jc w:val="both"/>
        <w:rPr>
          <w:rFonts w:ascii="Tahoma" w:eastAsia="Times New Roman" w:hAnsi="Tahoma" w:cs="Tahoma"/>
          <w:b/>
          <w:color w:val="000000"/>
          <w:sz w:val="26"/>
          <w:szCs w:val="26"/>
          <w:lang w:eastAsia="it-IT"/>
        </w:rPr>
      </w:pPr>
      <w:r w:rsidRPr="004865BF">
        <w:rPr>
          <w:rFonts w:ascii="Tahoma" w:eastAsia="Times New Roman" w:hAnsi="Tahoma" w:cs="Tahoma"/>
          <w:color w:val="000000"/>
          <w:sz w:val="26"/>
          <w:szCs w:val="26"/>
          <w:lang w:eastAsia="it-IT"/>
        </w:rPr>
        <w:br/>
        <w:t>Il sistema del doppio fascicolo nasce dall'esigenza di impedire che il giudice del dibattimento possa essere influenzato dal contenuto degli atti di indagine preliminare che non hanno valore di prova ed esauriscono la loro funzione con il </w:t>
      </w:r>
      <w:r w:rsidRPr="004865BF">
        <w:rPr>
          <w:rFonts w:ascii="Tahoma" w:eastAsia="Times New Roman" w:hAnsi="Tahoma" w:cs="Tahoma"/>
          <w:color w:val="183025"/>
          <w:sz w:val="26"/>
          <w:szCs w:val="26"/>
          <w:u w:val="single"/>
          <w:lang w:eastAsia="it-IT"/>
        </w:rPr>
        <w:t>rinvio a giudizio</w:t>
      </w:r>
      <w:r w:rsidRPr="004865BF">
        <w:rPr>
          <w:rFonts w:ascii="Tahoma" w:eastAsia="Times New Roman" w:hAnsi="Tahoma" w:cs="Tahoma"/>
          <w:color w:val="000000"/>
          <w:sz w:val="26"/>
          <w:szCs w:val="26"/>
          <w:lang w:eastAsia="it-IT"/>
        </w:rPr>
        <w:t> dell'imputato, salvo ipotesi eccezionali di recupero dibattimentale.</w:t>
      </w:r>
      <w:r w:rsidRPr="004865BF">
        <w:rPr>
          <w:rFonts w:ascii="Tahoma" w:eastAsia="Times New Roman" w:hAnsi="Tahoma" w:cs="Tahoma"/>
          <w:color w:val="000000"/>
          <w:sz w:val="26"/>
          <w:szCs w:val="26"/>
          <w:lang w:eastAsia="it-IT"/>
        </w:rPr>
        <w:br/>
      </w:r>
      <w:r w:rsidRPr="004865BF">
        <w:rPr>
          <w:rFonts w:ascii="Tahoma" w:eastAsia="Times New Roman" w:hAnsi="Tahoma" w:cs="Tahoma"/>
          <w:color w:val="000000"/>
          <w:sz w:val="26"/>
          <w:szCs w:val="26"/>
          <w:lang w:eastAsia="it-IT"/>
        </w:rPr>
        <w:br/>
        <w:t>Difatti, ex art. </w:t>
      </w:r>
      <w:r w:rsidRPr="004865BF">
        <w:rPr>
          <w:rFonts w:ascii="Tahoma" w:eastAsia="Times New Roman" w:hAnsi="Tahoma" w:cs="Tahoma"/>
          <w:color w:val="183025"/>
          <w:sz w:val="26"/>
          <w:szCs w:val="26"/>
          <w:u w:val="single"/>
          <w:lang w:eastAsia="it-IT"/>
        </w:rPr>
        <w:t>511</w:t>
      </w:r>
      <w:r w:rsidRPr="004865BF">
        <w:rPr>
          <w:rFonts w:ascii="Tahoma" w:eastAsia="Times New Roman" w:hAnsi="Tahoma" w:cs="Tahoma"/>
          <w:color w:val="000000"/>
          <w:sz w:val="26"/>
          <w:szCs w:val="26"/>
          <w:lang w:eastAsia="it-IT"/>
        </w:rPr>
        <w:t> valore di prova possono assumere solo quegli atti di cui venga data </w:t>
      </w:r>
      <w:r w:rsidRPr="004865BF">
        <w:rPr>
          <w:rFonts w:ascii="Tahoma" w:eastAsia="Times New Roman" w:hAnsi="Tahoma" w:cs="Tahoma"/>
          <w:b/>
          <w:bCs/>
          <w:color w:val="000000"/>
          <w:sz w:val="26"/>
          <w:szCs w:val="26"/>
          <w:lang w:eastAsia="it-IT"/>
        </w:rPr>
        <w:t>lettura</w:t>
      </w:r>
      <w:r w:rsidRPr="004865BF">
        <w:rPr>
          <w:rFonts w:ascii="Tahoma" w:eastAsia="Times New Roman" w:hAnsi="Tahoma" w:cs="Tahoma"/>
          <w:color w:val="000000"/>
          <w:sz w:val="26"/>
          <w:szCs w:val="26"/>
          <w:lang w:eastAsia="it-IT"/>
        </w:rPr>
        <w:t>.</w:t>
      </w:r>
      <w:r w:rsidRPr="004865BF">
        <w:rPr>
          <w:rFonts w:ascii="Tahoma" w:eastAsia="Times New Roman" w:hAnsi="Tahoma" w:cs="Tahoma"/>
          <w:color w:val="000000"/>
          <w:sz w:val="26"/>
          <w:szCs w:val="26"/>
          <w:lang w:eastAsia="it-IT"/>
        </w:rPr>
        <w:br/>
      </w:r>
      <w:r w:rsidRPr="004865BF">
        <w:rPr>
          <w:rFonts w:ascii="Tahoma" w:eastAsia="Times New Roman" w:hAnsi="Tahoma" w:cs="Tahoma"/>
          <w:color w:val="000000"/>
          <w:sz w:val="26"/>
          <w:szCs w:val="26"/>
          <w:lang w:eastAsia="it-IT"/>
        </w:rPr>
        <w:br/>
      </w:r>
      <w:r w:rsidRPr="004865BF">
        <w:rPr>
          <w:rFonts w:ascii="Tahoma" w:eastAsia="Times New Roman" w:hAnsi="Tahoma" w:cs="Tahoma"/>
          <w:b/>
          <w:color w:val="000000"/>
          <w:sz w:val="26"/>
          <w:szCs w:val="26"/>
          <w:lang w:eastAsia="it-IT"/>
        </w:rPr>
        <w:t>Oltre agli atti elencati nella norma in commento, possono confluire nel fascicolo per il dibattimento gli atti investigativi del p.m. o del difensore, ma solamente quando vi è </w:t>
      </w:r>
      <w:r w:rsidRPr="004865BF">
        <w:rPr>
          <w:rFonts w:ascii="Tahoma" w:eastAsia="Times New Roman" w:hAnsi="Tahoma" w:cs="Tahoma"/>
          <w:b/>
          <w:bCs/>
          <w:color w:val="000000"/>
          <w:sz w:val="26"/>
          <w:szCs w:val="26"/>
          <w:lang w:eastAsia="it-IT"/>
        </w:rPr>
        <w:t>accordo tra le parti</w:t>
      </w:r>
      <w:r w:rsidRPr="004865BF">
        <w:rPr>
          <w:rFonts w:ascii="Tahoma" w:eastAsia="Times New Roman" w:hAnsi="Tahoma" w:cs="Tahoma"/>
          <w:b/>
          <w:color w:val="000000"/>
          <w:sz w:val="26"/>
          <w:szCs w:val="26"/>
          <w:lang w:eastAsia="it-IT"/>
        </w:rPr>
        <w:t>.</w:t>
      </w:r>
    </w:p>
    <w:p w:rsidR="007522BE" w:rsidRDefault="007522BE"/>
    <w:sectPr w:rsidR="007522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A69A1"/>
    <w:multiLevelType w:val="multilevel"/>
    <w:tmpl w:val="15E2C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17D473C"/>
    <w:multiLevelType w:val="multilevel"/>
    <w:tmpl w:val="2594F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4570313"/>
    <w:multiLevelType w:val="multilevel"/>
    <w:tmpl w:val="587A9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5BF"/>
    <w:rsid w:val="003052AF"/>
    <w:rsid w:val="004865BF"/>
    <w:rsid w:val="007522BE"/>
    <w:rsid w:val="00BC1210"/>
    <w:rsid w:val="00FA771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0E43D0-6493-44C0-BBAC-7A255952F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heme="minorHAnsi" w:hAnsi="Cambria" w:cstheme="minorBidi"/>
        <w:sz w:val="24"/>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link w:val="Titolo2Carattere"/>
    <w:uiPriority w:val="9"/>
    <w:qFormat/>
    <w:rsid w:val="00FA7717"/>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FA7717"/>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semiHidden/>
    <w:unhideWhenUsed/>
    <w:rsid w:val="00FA7717"/>
    <w:rPr>
      <w:color w:val="0000FF"/>
      <w:u w:val="single"/>
    </w:rPr>
  </w:style>
  <w:style w:type="paragraph" w:customStyle="1" w:styleId="comma">
    <w:name w:val="comma"/>
    <w:basedOn w:val="Normale"/>
    <w:rsid w:val="00FA7717"/>
    <w:pPr>
      <w:spacing w:before="100" w:beforeAutospacing="1" w:after="100" w:afterAutospacing="1" w:line="240" w:lineRule="auto"/>
    </w:pPr>
    <w:rPr>
      <w:rFonts w:ascii="Times New Roman" w:eastAsia="Times New Roman" w:hAnsi="Times New Roman" w:cs="Times New Roman"/>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601219">
      <w:bodyDiv w:val="1"/>
      <w:marLeft w:val="0"/>
      <w:marRight w:val="0"/>
      <w:marTop w:val="0"/>
      <w:marBottom w:val="0"/>
      <w:divBdr>
        <w:top w:val="none" w:sz="0" w:space="0" w:color="auto"/>
        <w:left w:val="none" w:sz="0" w:space="0" w:color="auto"/>
        <w:bottom w:val="none" w:sz="0" w:space="0" w:color="auto"/>
        <w:right w:val="none" w:sz="0" w:space="0" w:color="auto"/>
      </w:divBdr>
      <w:divsChild>
        <w:div w:id="212471518">
          <w:marLeft w:val="0"/>
          <w:marRight w:val="0"/>
          <w:marTop w:val="0"/>
          <w:marBottom w:val="360"/>
          <w:divBdr>
            <w:top w:val="none" w:sz="0" w:space="0" w:color="auto"/>
            <w:left w:val="none" w:sz="0" w:space="0" w:color="auto"/>
            <w:bottom w:val="none" w:sz="0" w:space="0" w:color="auto"/>
            <w:right w:val="none" w:sz="0" w:space="0" w:color="auto"/>
          </w:divBdr>
        </w:div>
      </w:divsChild>
    </w:div>
    <w:div w:id="1538280165">
      <w:bodyDiv w:val="1"/>
      <w:marLeft w:val="0"/>
      <w:marRight w:val="0"/>
      <w:marTop w:val="0"/>
      <w:marBottom w:val="0"/>
      <w:divBdr>
        <w:top w:val="none" w:sz="0" w:space="0" w:color="auto"/>
        <w:left w:val="none" w:sz="0" w:space="0" w:color="auto"/>
        <w:bottom w:val="none" w:sz="0" w:space="0" w:color="auto"/>
        <w:right w:val="none" w:sz="0" w:space="0" w:color="auto"/>
      </w:divBdr>
      <w:divsChild>
        <w:div w:id="767434378">
          <w:marLeft w:val="450"/>
          <w:marRight w:val="450"/>
          <w:marTop w:val="0"/>
          <w:marBottom w:val="225"/>
          <w:divBdr>
            <w:top w:val="none" w:sz="0" w:space="0" w:color="auto"/>
            <w:left w:val="none" w:sz="0" w:space="0" w:color="auto"/>
            <w:bottom w:val="none" w:sz="0" w:space="0" w:color="auto"/>
            <w:right w:val="none" w:sz="0" w:space="0" w:color="auto"/>
          </w:divBdr>
        </w:div>
        <w:div w:id="1658611565">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Pradella</dc:creator>
  <cp:keywords/>
  <dc:description/>
  <cp:lastModifiedBy>Max Pradella</cp:lastModifiedBy>
  <cp:revision>5</cp:revision>
  <dcterms:created xsi:type="dcterms:W3CDTF">2021-01-28T16:46:00Z</dcterms:created>
  <dcterms:modified xsi:type="dcterms:W3CDTF">2021-01-28T17:09:00Z</dcterms:modified>
</cp:coreProperties>
</file>